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7042" w:rsidRPr="00A07042" w:rsidRDefault="00A07042" w:rsidP="00A07042">
      <w:pPr>
        <w:spacing w:after="0" w:line="240" w:lineRule="auto"/>
        <w:rPr>
          <w:rFonts w:ascii="Times New Roman" w:eastAsia="Times New Roman" w:hAnsi="Times New Roman" w:cs="Times New Roman"/>
          <w:sz w:val="24"/>
          <w:szCs w:val="24"/>
        </w:rPr>
      </w:pPr>
      <w:r w:rsidRPr="00A07042">
        <w:rPr>
          <w:rFonts w:ascii="Times New Roman" w:eastAsia="Times New Roman" w:hAnsi="Times New Roman" w:cs="Times New Roman"/>
          <w:sz w:val="24"/>
          <w:szCs w:val="24"/>
        </w:rPr>
        <w:t>It's challenging to put an exact number on TBI c</w:t>
      </w:r>
      <w:r>
        <w:rPr>
          <w:rFonts w:ascii="Times New Roman" w:eastAsia="Times New Roman" w:hAnsi="Times New Roman" w:cs="Times New Roman"/>
          <w:sz w:val="24"/>
          <w:szCs w:val="24"/>
        </w:rPr>
        <w:t xml:space="preserve">ases that are NOT reported but </w:t>
      </w:r>
      <w:r w:rsidRPr="00A07042">
        <w:rPr>
          <w:rFonts w:ascii="Times New Roman" w:eastAsia="Times New Roman" w:hAnsi="Times New Roman" w:cs="Times New Roman"/>
          <w:sz w:val="24"/>
          <w:szCs w:val="24"/>
        </w:rPr>
        <w:t>it's a lot of people, a big problem and a huge opportunity to help.</w:t>
      </w:r>
    </w:p>
    <w:p w:rsidR="00A07042" w:rsidRPr="00A07042" w:rsidRDefault="00A07042" w:rsidP="00A07042">
      <w:pPr>
        <w:spacing w:after="0" w:line="240" w:lineRule="auto"/>
        <w:rPr>
          <w:rFonts w:ascii="Times New Roman" w:eastAsia="Times New Roman" w:hAnsi="Times New Roman" w:cs="Times New Roman"/>
          <w:sz w:val="24"/>
          <w:szCs w:val="24"/>
        </w:rPr>
      </w:pPr>
    </w:p>
    <w:p w:rsidR="00A07042" w:rsidRPr="00A07042" w:rsidRDefault="00A07042" w:rsidP="00A07042">
      <w:pPr>
        <w:spacing w:after="0" w:line="240" w:lineRule="auto"/>
        <w:rPr>
          <w:rFonts w:ascii="Times New Roman" w:eastAsia="Times New Roman" w:hAnsi="Times New Roman" w:cs="Times New Roman"/>
          <w:sz w:val="24"/>
          <w:szCs w:val="24"/>
        </w:rPr>
      </w:pPr>
      <w:r w:rsidRPr="00A07042">
        <w:rPr>
          <w:rFonts w:ascii="Times New Roman" w:eastAsia="Times New Roman" w:hAnsi="Times New Roman" w:cs="Times New Roman"/>
          <w:i/>
          <w:iCs/>
          <w:sz w:val="24"/>
          <w:szCs w:val="24"/>
        </w:rPr>
        <w:t xml:space="preserve">TBIs related to engagement in sports and recreational activity are a major cause of TBI, but are likely underreported in the literature given that most of the injuries are mild in severity and untreated. Previous epidemiological studies estimated approximately </w:t>
      </w:r>
      <w:r w:rsidRPr="00A07042">
        <w:rPr>
          <w:rFonts w:ascii="Times New Roman" w:eastAsia="Times New Roman" w:hAnsi="Times New Roman" w:cs="Times New Roman"/>
          <w:b/>
          <w:bCs/>
          <w:i/>
          <w:iCs/>
          <w:sz w:val="24"/>
          <w:szCs w:val="24"/>
        </w:rPr>
        <w:t>300,000 sports-and recreation-related TBIs per year</w:t>
      </w:r>
      <w:r w:rsidRPr="00A07042">
        <w:rPr>
          <w:rFonts w:ascii="Times New Roman" w:eastAsia="Times New Roman" w:hAnsi="Times New Roman" w:cs="Times New Roman"/>
          <w:i/>
          <w:iCs/>
          <w:sz w:val="24"/>
          <w:szCs w:val="24"/>
        </w:rPr>
        <w:t>. However, it has been noted that Thurman and colleagues</w:t>
      </w:r>
      <w:r>
        <w:rPr>
          <w:rFonts w:ascii="Times New Roman" w:eastAsia="Times New Roman" w:hAnsi="Times New Roman" w:cs="Times New Roman"/>
          <w:i/>
          <w:iCs/>
          <w:sz w:val="24"/>
          <w:szCs w:val="24"/>
        </w:rPr>
        <w:t xml:space="preserve"> </w:t>
      </w:r>
      <w:r w:rsidRPr="00A07042">
        <w:rPr>
          <w:rFonts w:ascii="Times New Roman" w:eastAsia="Times New Roman" w:hAnsi="Times New Roman" w:cs="Times New Roman"/>
          <w:i/>
          <w:iCs/>
          <w:sz w:val="24"/>
          <w:szCs w:val="24"/>
        </w:rPr>
        <w:t>only included TBIs for which the person</w:t>
      </w:r>
      <w:r w:rsidRPr="00A07042">
        <w:rPr>
          <w:rFonts w:ascii="Times New Roman" w:eastAsia="Times New Roman" w:hAnsi="Times New Roman" w:cs="Times New Roman"/>
          <w:b/>
          <w:bCs/>
          <w:i/>
          <w:iCs/>
          <w:sz w:val="24"/>
          <w:szCs w:val="24"/>
        </w:rPr>
        <w:t xml:space="preserve"> reported a loss of consciousness, which is considered a very small minority (10%) of TBIs </w:t>
      </w:r>
      <w:r w:rsidRPr="00A07042">
        <w:rPr>
          <w:rFonts w:ascii="Times New Roman" w:eastAsia="Times New Roman" w:hAnsi="Times New Roman" w:cs="Times New Roman"/>
          <w:i/>
          <w:iCs/>
          <w:sz w:val="24"/>
          <w:szCs w:val="24"/>
        </w:rPr>
        <w:t>related to sports and recreation</w:t>
      </w:r>
      <w:r>
        <w:rPr>
          <w:rFonts w:ascii="Times New Roman" w:eastAsia="Times New Roman" w:hAnsi="Times New Roman" w:cs="Times New Roman"/>
          <w:i/>
          <w:iCs/>
          <w:sz w:val="24"/>
          <w:szCs w:val="24"/>
        </w:rPr>
        <w:t>.</w:t>
      </w:r>
      <w:r w:rsidRPr="00A07042">
        <w:rPr>
          <w:rFonts w:ascii="Times New Roman" w:eastAsia="Times New Roman" w:hAnsi="Times New Roman" w:cs="Times New Roman"/>
          <w:i/>
          <w:iCs/>
          <w:sz w:val="24"/>
          <w:szCs w:val="24"/>
        </w:rPr>
        <w:t xml:space="preserve"> </w:t>
      </w:r>
      <w:proofErr w:type="spellStart"/>
      <w:r w:rsidRPr="00A07042">
        <w:rPr>
          <w:rFonts w:ascii="Times New Roman" w:eastAsia="Times New Roman" w:hAnsi="Times New Roman" w:cs="Times New Roman"/>
          <w:i/>
          <w:iCs/>
          <w:sz w:val="24"/>
          <w:szCs w:val="24"/>
        </w:rPr>
        <w:t>Langlois</w:t>
      </w:r>
      <w:proofErr w:type="spellEnd"/>
      <w:r w:rsidRPr="00A07042">
        <w:rPr>
          <w:rFonts w:ascii="Times New Roman" w:eastAsia="Times New Roman" w:hAnsi="Times New Roman" w:cs="Times New Roman"/>
          <w:i/>
          <w:iCs/>
          <w:sz w:val="24"/>
          <w:szCs w:val="24"/>
        </w:rPr>
        <w:t xml:space="preserve"> and colleagues indicated that if all injuries are taken into account, including those who do not seek medical attention, </w:t>
      </w:r>
      <w:r w:rsidRPr="00A07042">
        <w:rPr>
          <w:rFonts w:ascii="Times New Roman" w:eastAsia="Times New Roman" w:hAnsi="Times New Roman" w:cs="Times New Roman"/>
          <w:b/>
          <w:bCs/>
          <w:i/>
          <w:iCs/>
          <w:sz w:val="24"/>
          <w:szCs w:val="24"/>
        </w:rPr>
        <w:t>a more accurate estimate of 1.6 to 3.8 million sports-and recreation-related concussions occur annually.</w:t>
      </w:r>
      <w:r w:rsidRPr="00A07042">
        <w:rPr>
          <w:rFonts w:ascii="Times New Roman" w:eastAsia="Times New Roman" w:hAnsi="Times New Roman" w:cs="Times New Roman"/>
          <w:i/>
          <w:iCs/>
          <w:sz w:val="24"/>
          <w:szCs w:val="24"/>
        </w:rPr>
        <w:t xml:space="preserve"> The data on sports-related concussion is likely to improve in the coming years as identification of concussion by athletic trainers, coaches, athletes, and medical personnel improves and more athletes seek treatment. A recent study of emergency departments found that sports-related concussion visits doubled for children aged 8 to 13 and increased by more than 200% in individuals aged 14 to 19 from 1997 to 2007. </w:t>
      </w:r>
    </w:p>
    <w:p w:rsidR="00A07042" w:rsidRPr="00A07042" w:rsidRDefault="00A07042" w:rsidP="00A07042">
      <w:pPr>
        <w:spacing w:after="0" w:line="240" w:lineRule="auto"/>
        <w:rPr>
          <w:rFonts w:ascii="Times New Roman" w:eastAsia="Times New Roman" w:hAnsi="Times New Roman" w:cs="Times New Roman"/>
          <w:sz w:val="24"/>
          <w:szCs w:val="24"/>
        </w:rPr>
      </w:pPr>
      <w:hyperlink r:id="rId4" w:tgtFrame="_blank" w:history="1">
        <w:r w:rsidRPr="00A07042">
          <w:rPr>
            <w:rFonts w:ascii="Times New Roman" w:eastAsia="Times New Roman" w:hAnsi="Times New Roman" w:cs="Times New Roman"/>
            <w:i/>
            <w:iCs/>
            <w:color w:val="0000FF"/>
            <w:sz w:val="24"/>
            <w:szCs w:val="24"/>
            <w:u w:val="single"/>
          </w:rPr>
          <w:t>https://www.ncbi.nlm.nih.gov/books/NBK326730/</w:t>
        </w:r>
      </w:hyperlink>
    </w:p>
    <w:p w:rsidR="00A07042" w:rsidRPr="00A07042" w:rsidRDefault="00A07042" w:rsidP="00A07042">
      <w:pPr>
        <w:spacing w:after="0" w:line="240" w:lineRule="auto"/>
        <w:rPr>
          <w:rFonts w:ascii="Times New Roman" w:eastAsia="Times New Roman" w:hAnsi="Times New Roman" w:cs="Times New Roman"/>
          <w:sz w:val="24"/>
          <w:szCs w:val="24"/>
        </w:rPr>
      </w:pPr>
    </w:p>
    <w:p w:rsidR="00A07042" w:rsidRPr="00A07042" w:rsidRDefault="00A07042" w:rsidP="00A07042">
      <w:pPr>
        <w:spacing w:after="0" w:line="240" w:lineRule="auto"/>
        <w:rPr>
          <w:rFonts w:ascii="Times New Roman" w:eastAsia="Times New Roman" w:hAnsi="Times New Roman" w:cs="Times New Roman"/>
          <w:sz w:val="24"/>
          <w:szCs w:val="24"/>
        </w:rPr>
      </w:pPr>
      <w:r w:rsidRPr="00A07042">
        <w:rPr>
          <w:rFonts w:ascii="Times New Roman" w:eastAsia="Times New Roman" w:hAnsi="Times New Roman" w:cs="Times New Roman"/>
          <w:i/>
          <w:iCs/>
          <w:sz w:val="24"/>
          <w:szCs w:val="24"/>
        </w:rPr>
        <w:t>Most cases of traumatic brain injury are concussions. A World Health Organization (WHO) study estimated that between 70 and 90% of head injuries that receive treatment are mild. However, due to underreporting and to the widely varying definitions of concussion and MTBI, it is difficult to estimate how common the condition is. Estimates of the incidence of concussion may be artificially low, for example due to underreporting. As many as 89% of MTBI sufferers fail to get assessed by a medical professional. The WHO group reviewed studies on the epidemiology of MTBI and found a hospital treatment rate of 1–3 per 1000 people, but since not all concussions are treated in hospitals, they estimated that the rate per year in the general population is over 6 per 1000 people. Approximately 3.8 million sports and recreation-related TBIs occur in the United States each year, but that number includes only athletes who lost consciousness. Since loss of consciousness is thought to occur in less than 10% of concussions, the CDC estimate is likely 10 times lower than the real number. This number does not include car and bicycle crashes, falls, assaults, war zone concussions, work-related concussions, or other mechanisms of injury!</w:t>
      </w:r>
      <w:r w:rsidRPr="00A07042">
        <w:rPr>
          <w:rFonts w:ascii="Times New Roman" w:eastAsia="Times New Roman" w:hAnsi="Times New Roman" w:cs="Times New Roman"/>
          <w:sz w:val="24"/>
          <w:szCs w:val="24"/>
        </w:rPr>
        <w:t xml:space="preserve"> </w:t>
      </w:r>
    </w:p>
    <w:p w:rsidR="00A07042" w:rsidRPr="00A07042" w:rsidRDefault="00A07042" w:rsidP="00A07042">
      <w:pPr>
        <w:spacing w:after="0" w:line="240" w:lineRule="auto"/>
        <w:rPr>
          <w:rFonts w:ascii="Times New Roman" w:eastAsia="Times New Roman" w:hAnsi="Times New Roman" w:cs="Times New Roman"/>
          <w:sz w:val="24"/>
          <w:szCs w:val="24"/>
        </w:rPr>
      </w:pPr>
      <w:hyperlink r:id="rId5" w:tgtFrame="_blank" w:history="1">
        <w:r w:rsidRPr="00A07042">
          <w:rPr>
            <w:rFonts w:ascii="Times New Roman" w:eastAsia="Times New Roman" w:hAnsi="Times New Roman" w:cs="Times New Roman"/>
            <w:color w:val="0000FF"/>
            <w:sz w:val="24"/>
            <w:szCs w:val="24"/>
            <w:u w:val="single"/>
          </w:rPr>
          <w:t>https://theconcussionplace.com/concussion-statistics/</w:t>
        </w:r>
      </w:hyperlink>
    </w:p>
    <w:p w:rsidR="00A07042" w:rsidRPr="00A07042" w:rsidRDefault="00A07042" w:rsidP="00A07042">
      <w:pPr>
        <w:spacing w:after="0" w:line="240" w:lineRule="auto"/>
        <w:rPr>
          <w:rFonts w:ascii="Times New Roman" w:eastAsia="Times New Roman" w:hAnsi="Times New Roman" w:cs="Times New Roman"/>
          <w:sz w:val="24"/>
          <w:szCs w:val="24"/>
        </w:rPr>
      </w:pPr>
    </w:p>
    <w:p w:rsidR="00A07042" w:rsidRPr="00A07042" w:rsidRDefault="00A07042" w:rsidP="00A07042">
      <w:pPr>
        <w:spacing w:after="0" w:line="240" w:lineRule="auto"/>
        <w:rPr>
          <w:rFonts w:ascii="Times New Roman" w:eastAsia="Times New Roman" w:hAnsi="Times New Roman" w:cs="Times New Roman"/>
          <w:b/>
          <w:sz w:val="24"/>
          <w:szCs w:val="24"/>
        </w:rPr>
      </w:pPr>
      <w:r w:rsidRPr="00A07042">
        <w:rPr>
          <w:rFonts w:ascii="Times New Roman" w:eastAsia="Times New Roman" w:hAnsi="Times New Roman" w:cs="Times New Roman"/>
          <w:b/>
          <w:sz w:val="24"/>
          <w:szCs w:val="24"/>
        </w:rPr>
        <w:t>Psychology Today:</w:t>
      </w:r>
    </w:p>
    <w:p w:rsidR="00A07042" w:rsidRPr="00A07042" w:rsidRDefault="00A07042" w:rsidP="00A07042">
      <w:pPr>
        <w:spacing w:after="0" w:line="240" w:lineRule="auto"/>
        <w:rPr>
          <w:rFonts w:ascii="Times New Roman" w:eastAsia="Times New Roman" w:hAnsi="Times New Roman" w:cs="Times New Roman"/>
          <w:sz w:val="24"/>
          <w:szCs w:val="24"/>
        </w:rPr>
      </w:pPr>
      <w:r w:rsidRPr="00A07042">
        <w:rPr>
          <w:rFonts w:ascii="Times New Roman" w:eastAsia="Times New Roman" w:hAnsi="Times New Roman" w:cs="Times New Roman"/>
          <w:i/>
          <w:iCs/>
          <w:sz w:val="24"/>
          <w:szCs w:val="24"/>
        </w:rPr>
        <w:t>However, as many as 90% of concussions go unreported. This number does not include car and bicycle crashes, falls, assaults, war zone concussions, work-related concussions, or any of the other examples.</w:t>
      </w:r>
    </w:p>
    <w:p w:rsidR="00A07042" w:rsidRPr="00A07042" w:rsidRDefault="00A07042" w:rsidP="00A07042">
      <w:pPr>
        <w:spacing w:after="0" w:line="240" w:lineRule="auto"/>
        <w:rPr>
          <w:rFonts w:ascii="Times New Roman" w:eastAsia="Times New Roman" w:hAnsi="Times New Roman" w:cs="Times New Roman"/>
          <w:sz w:val="24"/>
          <w:szCs w:val="24"/>
        </w:rPr>
      </w:pPr>
      <w:hyperlink r:id="rId6" w:tgtFrame="_blank" w:history="1">
        <w:r w:rsidRPr="00A07042">
          <w:rPr>
            <w:rFonts w:ascii="Times New Roman" w:eastAsia="Times New Roman" w:hAnsi="Times New Roman" w:cs="Times New Roman"/>
            <w:i/>
            <w:iCs/>
            <w:color w:val="0000FF"/>
            <w:sz w:val="24"/>
            <w:szCs w:val="24"/>
            <w:u w:val="single"/>
          </w:rPr>
          <w:t>https://www.psychologytoday.com/us/blog/brain-trauma/201412/concussions-not-just-football-problem-are-you-risk-0</w:t>
        </w:r>
      </w:hyperlink>
    </w:p>
    <w:p w:rsidR="00A07042" w:rsidRPr="00A07042" w:rsidRDefault="00A07042" w:rsidP="00A07042">
      <w:pPr>
        <w:spacing w:after="0" w:line="240" w:lineRule="auto"/>
        <w:rPr>
          <w:rFonts w:ascii="Times New Roman" w:eastAsia="Times New Roman" w:hAnsi="Times New Roman" w:cs="Times New Roman"/>
          <w:sz w:val="24"/>
          <w:szCs w:val="24"/>
        </w:rPr>
      </w:pPr>
    </w:p>
    <w:p w:rsidR="00A07042" w:rsidRPr="00A07042" w:rsidRDefault="00A07042" w:rsidP="00A07042">
      <w:pPr>
        <w:spacing w:after="0" w:line="240" w:lineRule="auto"/>
        <w:rPr>
          <w:rFonts w:ascii="Times New Roman" w:eastAsia="Times New Roman" w:hAnsi="Times New Roman" w:cs="Times New Roman"/>
          <w:b/>
          <w:sz w:val="24"/>
          <w:szCs w:val="24"/>
        </w:rPr>
      </w:pPr>
      <w:r w:rsidRPr="00A07042">
        <w:rPr>
          <w:rFonts w:ascii="Times New Roman" w:eastAsia="Times New Roman" w:hAnsi="Times New Roman" w:cs="Times New Roman"/>
          <w:b/>
          <w:sz w:val="24"/>
          <w:szCs w:val="24"/>
        </w:rPr>
        <w:t>NIH:</w:t>
      </w:r>
    </w:p>
    <w:p w:rsidR="00E16693" w:rsidRDefault="00A07042" w:rsidP="001006C5">
      <w:pPr>
        <w:spacing w:after="0" w:line="240" w:lineRule="auto"/>
      </w:pPr>
      <w:r w:rsidRPr="00A07042">
        <w:rPr>
          <w:rFonts w:ascii="Times New Roman" w:eastAsia="Times New Roman" w:hAnsi="Times New Roman" w:cs="Times New Roman"/>
          <w:color w:val="000000"/>
          <w:sz w:val="24"/>
          <w:szCs w:val="24"/>
        </w:rPr>
        <w:t xml:space="preserve">Approximately </w:t>
      </w:r>
      <w:r w:rsidRPr="00A07042">
        <w:rPr>
          <w:rFonts w:ascii="Times New Roman" w:eastAsia="Times New Roman" w:hAnsi="Times New Roman" w:cs="Times New Roman"/>
          <w:b/>
          <w:bCs/>
          <w:i/>
          <w:iCs/>
          <w:color w:val="000000"/>
          <w:sz w:val="24"/>
          <w:szCs w:val="24"/>
        </w:rPr>
        <w:t xml:space="preserve">one-half </w:t>
      </w:r>
      <w:r w:rsidRPr="00A07042">
        <w:rPr>
          <w:rFonts w:ascii="Times New Roman" w:eastAsia="Times New Roman" w:hAnsi="Times New Roman" w:cs="Times New Roman"/>
          <w:color w:val="000000"/>
          <w:sz w:val="24"/>
          <w:szCs w:val="24"/>
        </w:rPr>
        <w:t xml:space="preserve">of vehicle occupants with </w:t>
      </w:r>
      <w:r w:rsidRPr="00A07042">
        <w:rPr>
          <w:rFonts w:ascii="Times New Roman" w:eastAsia="Times New Roman" w:hAnsi="Times New Roman" w:cs="Times New Roman"/>
          <w:b/>
          <w:bCs/>
          <w:i/>
          <w:iCs/>
          <w:color w:val="000000"/>
          <w:sz w:val="24"/>
          <w:szCs w:val="24"/>
        </w:rPr>
        <w:t xml:space="preserve">traumatic brain injury </w:t>
      </w:r>
      <w:r w:rsidRPr="00A07042">
        <w:rPr>
          <w:rFonts w:ascii="Times New Roman" w:eastAsia="Times New Roman" w:hAnsi="Times New Roman" w:cs="Times New Roman"/>
          <w:color w:val="000000"/>
          <w:sz w:val="24"/>
          <w:szCs w:val="24"/>
        </w:rPr>
        <w:t xml:space="preserve">(TBI) have a </w:t>
      </w:r>
      <w:r w:rsidRPr="00A07042">
        <w:rPr>
          <w:rFonts w:ascii="Times New Roman" w:eastAsia="Times New Roman" w:hAnsi="Times New Roman" w:cs="Times New Roman"/>
          <w:b/>
          <w:bCs/>
          <w:i/>
          <w:iCs/>
          <w:color w:val="000000"/>
          <w:sz w:val="24"/>
          <w:szCs w:val="24"/>
        </w:rPr>
        <w:t>mild TBI</w:t>
      </w:r>
      <w:r w:rsidRPr="00A07042">
        <w:rPr>
          <w:rFonts w:ascii="Times New Roman" w:eastAsia="Times New Roman" w:hAnsi="Times New Roman" w:cs="Times New Roman"/>
          <w:color w:val="000000"/>
          <w:sz w:val="24"/>
          <w:szCs w:val="24"/>
        </w:rPr>
        <w:t xml:space="preserve">... However, despite the label of “mild”, many of these injuries result in </w:t>
      </w:r>
      <w:r w:rsidRPr="00A07042">
        <w:rPr>
          <w:rFonts w:ascii="Times New Roman" w:eastAsia="Times New Roman" w:hAnsi="Times New Roman" w:cs="Times New Roman"/>
          <w:i/>
          <w:iCs/>
          <w:color w:val="000000"/>
          <w:sz w:val="24"/>
          <w:szCs w:val="24"/>
        </w:rPr>
        <w:t>long-term consequences</w:t>
      </w:r>
      <w:r w:rsidRPr="00A07042">
        <w:rPr>
          <w:rFonts w:ascii="Times New Roman" w:eastAsia="Times New Roman" w:hAnsi="Times New Roman" w:cs="Times New Roman"/>
          <w:color w:val="000000"/>
          <w:sz w:val="24"/>
          <w:szCs w:val="24"/>
        </w:rPr>
        <w:t xml:space="preserve">; frequently these </w:t>
      </w:r>
      <w:proofErr w:type="spellStart"/>
      <w:r w:rsidRPr="00A07042">
        <w:rPr>
          <w:rFonts w:ascii="Times New Roman" w:eastAsia="Times New Roman" w:hAnsi="Times New Roman" w:cs="Times New Roman"/>
          <w:b/>
          <w:bCs/>
          <w:color w:val="000000"/>
          <w:sz w:val="24"/>
          <w:szCs w:val="24"/>
        </w:rPr>
        <w:t>sequelae</w:t>
      </w:r>
      <w:proofErr w:type="spellEnd"/>
      <w:r w:rsidRPr="00A07042">
        <w:rPr>
          <w:rFonts w:ascii="Times New Roman" w:eastAsia="Times New Roman" w:hAnsi="Times New Roman" w:cs="Times New Roman"/>
          <w:b/>
          <w:bCs/>
          <w:color w:val="000000"/>
          <w:sz w:val="24"/>
          <w:szCs w:val="24"/>
        </w:rPr>
        <w:t xml:space="preserve"> go unrecognized</w:t>
      </w:r>
      <w:r w:rsidRPr="00A07042">
        <w:rPr>
          <w:rFonts w:ascii="Times New Roman" w:eastAsia="Times New Roman" w:hAnsi="Times New Roman" w:cs="Times New Roman"/>
          <w:color w:val="000000"/>
          <w:sz w:val="24"/>
          <w:szCs w:val="24"/>
        </w:rPr>
        <w:t xml:space="preserve">, as the patients are </w:t>
      </w:r>
      <w:r w:rsidRPr="00A07042">
        <w:rPr>
          <w:rFonts w:ascii="Times New Roman" w:eastAsia="Times New Roman" w:hAnsi="Times New Roman" w:cs="Times New Roman"/>
          <w:b/>
          <w:bCs/>
          <w:color w:val="000000"/>
          <w:sz w:val="24"/>
          <w:szCs w:val="24"/>
        </w:rPr>
        <w:t>lost to medical follow-up</w:t>
      </w:r>
      <w:r w:rsidRPr="00A07042">
        <w:rPr>
          <w:rFonts w:ascii="Times New Roman" w:eastAsia="Times New Roman" w:hAnsi="Times New Roman" w:cs="Times New Roman"/>
          <w:color w:val="000000"/>
          <w:sz w:val="24"/>
          <w:szCs w:val="24"/>
        </w:rPr>
        <w:t>.  /</w:t>
      </w:r>
      <w:hyperlink r:id="rId7" w:tgtFrame="_blank" w:history="1">
        <w:r w:rsidRPr="001006C5">
          <w:rPr>
            <w:rFonts w:ascii="Times New Roman" w:eastAsia="Times New Roman" w:hAnsi="Times New Roman" w:cs="Times New Roman"/>
            <w:color w:val="0000FF"/>
            <w:sz w:val="24"/>
            <w:szCs w:val="24"/>
            <w:u w:val="single"/>
          </w:rPr>
          <w:t>https://www.ncbi.nlm.nih.gov/pmc/articles/PMC3217580</w:t>
        </w:r>
      </w:hyperlink>
      <w:r w:rsidRPr="00A07042">
        <w:rPr>
          <w:rFonts w:ascii="Times New Roman" w:eastAsia="Times New Roman" w:hAnsi="Times New Roman" w:cs="Times New Roman"/>
          <w:color w:val="000000"/>
          <w:sz w:val="24"/>
          <w:szCs w:val="24"/>
        </w:rPr>
        <w:t xml:space="preserve"> </w:t>
      </w:r>
    </w:p>
    <w:sectPr w:rsidR="00E16693" w:rsidSect="00E1669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5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A07042"/>
    <w:rsid w:val="001006C5"/>
    <w:rsid w:val="00A07042"/>
    <w:rsid w:val="00E1669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669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07042"/>
    <w:rPr>
      <w:color w:val="0000FF"/>
      <w:u w:val="single"/>
    </w:rPr>
  </w:style>
</w:styles>
</file>

<file path=word/webSettings.xml><?xml version="1.0" encoding="utf-8"?>
<w:webSettings xmlns:r="http://schemas.openxmlformats.org/officeDocument/2006/relationships" xmlns:w="http://schemas.openxmlformats.org/wordprocessingml/2006/main">
  <w:divs>
    <w:div w:id="1061171590">
      <w:bodyDiv w:val="1"/>
      <w:marLeft w:val="0"/>
      <w:marRight w:val="0"/>
      <w:marTop w:val="0"/>
      <w:marBottom w:val="0"/>
      <w:divBdr>
        <w:top w:val="none" w:sz="0" w:space="0" w:color="auto"/>
        <w:left w:val="none" w:sz="0" w:space="0" w:color="auto"/>
        <w:bottom w:val="none" w:sz="0" w:space="0" w:color="auto"/>
        <w:right w:val="none" w:sz="0" w:space="0" w:color="auto"/>
      </w:divBdr>
      <w:divsChild>
        <w:div w:id="101998827">
          <w:marLeft w:val="0"/>
          <w:marRight w:val="0"/>
          <w:marTop w:val="0"/>
          <w:marBottom w:val="0"/>
          <w:divBdr>
            <w:top w:val="none" w:sz="0" w:space="0" w:color="auto"/>
            <w:left w:val="none" w:sz="0" w:space="0" w:color="auto"/>
            <w:bottom w:val="none" w:sz="0" w:space="0" w:color="auto"/>
            <w:right w:val="none" w:sz="0" w:space="0" w:color="auto"/>
          </w:divBdr>
        </w:div>
        <w:div w:id="1090928364">
          <w:marLeft w:val="0"/>
          <w:marRight w:val="0"/>
          <w:marTop w:val="0"/>
          <w:marBottom w:val="0"/>
          <w:divBdr>
            <w:top w:val="none" w:sz="0" w:space="0" w:color="auto"/>
            <w:left w:val="none" w:sz="0" w:space="0" w:color="auto"/>
            <w:bottom w:val="none" w:sz="0" w:space="0" w:color="auto"/>
            <w:right w:val="none" w:sz="0" w:space="0" w:color="auto"/>
          </w:divBdr>
        </w:div>
        <w:div w:id="2054381713">
          <w:marLeft w:val="0"/>
          <w:marRight w:val="0"/>
          <w:marTop w:val="0"/>
          <w:marBottom w:val="0"/>
          <w:divBdr>
            <w:top w:val="none" w:sz="0" w:space="0" w:color="auto"/>
            <w:left w:val="none" w:sz="0" w:space="0" w:color="auto"/>
            <w:bottom w:val="none" w:sz="0" w:space="0" w:color="auto"/>
            <w:right w:val="none" w:sz="0" w:space="0" w:color="auto"/>
          </w:divBdr>
        </w:div>
        <w:div w:id="956057951">
          <w:marLeft w:val="0"/>
          <w:marRight w:val="0"/>
          <w:marTop w:val="0"/>
          <w:marBottom w:val="0"/>
          <w:divBdr>
            <w:top w:val="none" w:sz="0" w:space="0" w:color="auto"/>
            <w:left w:val="none" w:sz="0" w:space="0" w:color="auto"/>
            <w:bottom w:val="none" w:sz="0" w:space="0" w:color="auto"/>
            <w:right w:val="none" w:sz="0" w:space="0" w:color="auto"/>
          </w:divBdr>
        </w:div>
        <w:div w:id="1577469307">
          <w:marLeft w:val="0"/>
          <w:marRight w:val="0"/>
          <w:marTop w:val="0"/>
          <w:marBottom w:val="0"/>
          <w:divBdr>
            <w:top w:val="none" w:sz="0" w:space="0" w:color="auto"/>
            <w:left w:val="none" w:sz="0" w:space="0" w:color="auto"/>
            <w:bottom w:val="none" w:sz="0" w:space="0" w:color="auto"/>
            <w:right w:val="none" w:sz="0" w:space="0" w:color="auto"/>
          </w:divBdr>
        </w:div>
        <w:div w:id="596258692">
          <w:marLeft w:val="0"/>
          <w:marRight w:val="0"/>
          <w:marTop w:val="0"/>
          <w:marBottom w:val="0"/>
          <w:divBdr>
            <w:top w:val="none" w:sz="0" w:space="0" w:color="auto"/>
            <w:left w:val="none" w:sz="0" w:space="0" w:color="auto"/>
            <w:bottom w:val="none" w:sz="0" w:space="0" w:color="auto"/>
            <w:right w:val="none" w:sz="0" w:space="0" w:color="auto"/>
          </w:divBdr>
        </w:div>
        <w:div w:id="51009705">
          <w:marLeft w:val="0"/>
          <w:marRight w:val="0"/>
          <w:marTop w:val="0"/>
          <w:marBottom w:val="0"/>
          <w:divBdr>
            <w:top w:val="none" w:sz="0" w:space="0" w:color="auto"/>
            <w:left w:val="none" w:sz="0" w:space="0" w:color="auto"/>
            <w:bottom w:val="none" w:sz="0" w:space="0" w:color="auto"/>
            <w:right w:val="none" w:sz="0" w:space="0" w:color="auto"/>
          </w:divBdr>
        </w:div>
        <w:div w:id="1855722454">
          <w:marLeft w:val="0"/>
          <w:marRight w:val="0"/>
          <w:marTop w:val="0"/>
          <w:marBottom w:val="0"/>
          <w:divBdr>
            <w:top w:val="none" w:sz="0" w:space="0" w:color="auto"/>
            <w:left w:val="none" w:sz="0" w:space="0" w:color="auto"/>
            <w:bottom w:val="none" w:sz="0" w:space="0" w:color="auto"/>
            <w:right w:val="none" w:sz="0" w:space="0" w:color="auto"/>
          </w:divBdr>
        </w:div>
        <w:div w:id="66803505">
          <w:marLeft w:val="0"/>
          <w:marRight w:val="0"/>
          <w:marTop w:val="0"/>
          <w:marBottom w:val="0"/>
          <w:divBdr>
            <w:top w:val="none" w:sz="0" w:space="0" w:color="auto"/>
            <w:left w:val="none" w:sz="0" w:space="0" w:color="auto"/>
            <w:bottom w:val="none" w:sz="0" w:space="0" w:color="auto"/>
            <w:right w:val="none" w:sz="0" w:space="0" w:color="auto"/>
          </w:divBdr>
        </w:div>
        <w:div w:id="608125340">
          <w:marLeft w:val="0"/>
          <w:marRight w:val="0"/>
          <w:marTop w:val="0"/>
          <w:marBottom w:val="0"/>
          <w:divBdr>
            <w:top w:val="none" w:sz="0" w:space="0" w:color="auto"/>
            <w:left w:val="none" w:sz="0" w:space="0" w:color="auto"/>
            <w:bottom w:val="none" w:sz="0" w:space="0" w:color="auto"/>
            <w:right w:val="none" w:sz="0" w:space="0" w:color="auto"/>
          </w:divBdr>
        </w:div>
        <w:div w:id="554244350">
          <w:marLeft w:val="0"/>
          <w:marRight w:val="0"/>
          <w:marTop w:val="0"/>
          <w:marBottom w:val="0"/>
          <w:divBdr>
            <w:top w:val="none" w:sz="0" w:space="0" w:color="auto"/>
            <w:left w:val="none" w:sz="0" w:space="0" w:color="auto"/>
            <w:bottom w:val="none" w:sz="0" w:space="0" w:color="auto"/>
            <w:right w:val="none" w:sz="0" w:space="0" w:color="auto"/>
          </w:divBdr>
        </w:div>
        <w:div w:id="1608388647">
          <w:marLeft w:val="0"/>
          <w:marRight w:val="0"/>
          <w:marTop w:val="0"/>
          <w:marBottom w:val="0"/>
          <w:divBdr>
            <w:top w:val="none" w:sz="0" w:space="0" w:color="auto"/>
            <w:left w:val="none" w:sz="0" w:space="0" w:color="auto"/>
            <w:bottom w:val="none" w:sz="0" w:space="0" w:color="auto"/>
            <w:right w:val="none" w:sz="0" w:space="0" w:color="auto"/>
          </w:divBdr>
        </w:div>
        <w:div w:id="1014302458">
          <w:marLeft w:val="0"/>
          <w:marRight w:val="0"/>
          <w:marTop w:val="0"/>
          <w:marBottom w:val="0"/>
          <w:divBdr>
            <w:top w:val="none" w:sz="0" w:space="0" w:color="auto"/>
            <w:left w:val="none" w:sz="0" w:space="0" w:color="auto"/>
            <w:bottom w:val="none" w:sz="0" w:space="0" w:color="auto"/>
            <w:right w:val="none" w:sz="0" w:space="0" w:color="auto"/>
          </w:divBdr>
        </w:div>
        <w:div w:id="915168691">
          <w:marLeft w:val="0"/>
          <w:marRight w:val="0"/>
          <w:marTop w:val="0"/>
          <w:marBottom w:val="0"/>
          <w:divBdr>
            <w:top w:val="none" w:sz="0" w:space="0" w:color="auto"/>
            <w:left w:val="none" w:sz="0" w:space="0" w:color="auto"/>
            <w:bottom w:val="none" w:sz="0" w:space="0" w:color="auto"/>
            <w:right w:val="none" w:sz="0" w:space="0" w:color="auto"/>
          </w:divBdr>
        </w:div>
        <w:div w:id="881286348">
          <w:marLeft w:val="0"/>
          <w:marRight w:val="0"/>
          <w:marTop w:val="0"/>
          <w:marBottom w:val="0"/>
          <w:divBdr>
            <w:top w:val="none" w:sz="0" w:space="0" w:color="auto"/>
            <w:left w:val="none" w:sz="0" w:space="0" w:color="auto"/>
            <w:bottom w:val="none" w:sz="0" w:space="0" w:color="auto"/>
            <w:right w:val="none" w:sz="0" w:space="0" w:color="auto"/>
          </w:divBdr>
        </w:div>
        <w:div w:id="503545542">
          <w:marLeft w:val="0"/>
          <w:marRight w:val="0"/>
          <w:marTop w:val="0"/>
          <w:marBottom w:val="0"/>
          <w:divBdr>
            <w:top w:val="none" w:sz="0" w:space="0" w:color="auto"/>
            <w:left w:val="none" w:sz="0" w:space="0" w:color="auto"/>
            <w:bottom w:val="none" w:sz="0" w:space="0" w:color="auto"/>
            <w:right w:val="none" w:sz="0" w:space="0" w:color="auto"/>
          </w:divBdr>
        </w:div>
        <w:div w:id="345402419">
          <w:marLeft w:val="0"/>
          <w:marRight w:val="0"/>
          <w:marTop w:val="0"/>
          <w:marBottom w:val="0"/>
          <w:divBdr>
            <w:top w:val="none" w:sz="0" w:space="0" w:color="auto"/>
            <w:left w:val="none" w:sz="0" w:space="0" w:color="auto"/>
            <w:bottom w:val="none" w:sz="0" w:space="0" w:color="auto"/>
            <w:right w:val="none" w:sz="0" w:space="0" w:color="auto"/>
          </w:divBdr>
        </w:div>
        <w:div w:id="415445040">
          <w:marLeft w:val="0"/>
          <w:marRight w:val="0"/>
          <w:marTop w:val="0"/>
          <w:marBottom w:val="0"/>
          <w:divBdr>
            <w:top w:val="none" w:sz="0" w:space="0" w:color="auto"/>
            <w:left w:val="none" w:sz="0" w:space="0" w:color="auto"/>
            <w:bottom w:val="none" w:sz="0" w:space="0" w:color="auto"/>
            <w:right w:val="none" w:sz="0" w:space="0" w:color="auto"/>
          </w:divBdr>
        </w:div>
        <w:div w:id="818152651">
          <w:marLeft w:val="0"/>
          <w:marRight w:val="0"/>
          <w:marTop w:val="0"/>
          <w:marBottom w:val="0"/>
          <w:divBdr>
            <w:top w:val="none" w:sz="0" w:space="0" w:color="auto"/>
            <w:left w:val="none" w:sz="0" w:space="0" w:color="auto"/>
            <w:bottom w:val="none" w:sz="0" w:space="0" w:color="auto"/>
            <w:right w:val="none" w:sz="0" w:space="0" w:color="auto"/>
          </w:divBdr>
        </w:div>
        <w:div w:id="15812168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ncbi.nlm.nih.gov/pmc/articles/PMC321758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psychologytoday.com/us/blog/brain-trauma/201412/concussions-not-just-football-problem-are-you-risk-0" TargetMode="External"/><Relationship Id="rId5" Type="http://schemas.openxmlformats.org/officeDocument/2006/relationships/hyperlink" Target="https://theconcussionplace.com/concussion-statistics/" TargetMode="External"/><Relationship Id="rId4" Type="http://schemas.openxmlformats.org/officeDocument/2006/relationships/hyperlink" Target="https://www.ncbi.nlm.nih.gov/books/NBK326730/"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555</Words>
  <Characters>3169</Characters>
  <Application>Microsoft Office Word</Application>
  <DocSecurity>0</DocSecurity>
  <Lines>26</Lines>
  <Paragraphs>7</Paragraphs>
  <ScaleCrop>false</ScaleCrop>
  <Company/>
  <LinksUpToDate>false</LinksUpToDate>
  <CharactersWithSpaces>3717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dc:creator>
  <cp:lastModifiedBy>Michael</cp:lastModifiedBy>
  <cp:revision>2</cp:revision>
  <dcterms:created xsi:type="dcterms:W3CDTF">2019-02-21T23:05:00Z</dcterms:created>
  <dcterms:modified xsi:type="dcterms:W3CDTF">2019-02-21T23:05:00Z</dcterms:modified>
</cp:coreProperties>
</file>